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B15FB">
      <w:pPr>
        <w:widowControl/>
        <w:spacing w:line="400" w:lineRule="exact"/>
        <w:jc w:val="left"/>
        <w:rPr>
          <w:rFonts w:eastAsia="楷体_GB2312"/>
          <w:b/>
          <w:bCs/>
          <w:color w:val="000000"/>
          <w:kern w:val="0"/>
          <w:sz w:val="28"/>
          <w:szCs w:val="28"/>
        </w:rPr>
      </w:pPr>
    </w:p>
    <w:p w14:paraId="57E6FF4C">
      <w:pPr>
        <w:widowControl/>
        <w:spacing w:line="400" w:lineRule="exact"/>
        <w:jc w:val="left"/>
        <w:rPr>
          <w:rFonts w:eastAsia="楷体_GB2312"/>
          <w:b/>
          <w:bCs/>
          <w:color w:val="000000"/>
          <w:kern w:val="0"/>
          <w:sz w:val="28"/>
          <w:szCs w:val="28"/>
        </w:rPr>
      </w:pPr>
      <w:r>
        <w:rPr>
          <w:rFonts w:eastAsia="楷体_GB2312"/>
          <w:b/>
          <w:bCs/>
          <w:color w:val="000000"/>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1DB0D97E">
                            <w:r>
                              <w:rPr>
                                <w:rFonts w:hint="eastAsia"/>
                              </w:rPr>
                              <w:t>版本：E/0</w:t>
                            </w:r>
                          </w:p>
                          <w:p w14:paraId="2494739E">
                            <w:r>
                              <w:rPr>
                                <w:rFonts w:hint="eastAsia"/>
                              </w:rPr>
                              <w:t>编号：QD-823a-12-07</w:t>
                            </w:r>
                          </w:p>
                        </w:txbxContent>
                      </wps:txbx>
                      <wps:bodyPr wrap="square" upright="1"/>
                    </wps:wsp>
                  </a:graphicData>
                </a:graphic>
              </wp:anchor>
            </w:drawing>
          </mc:Choice>
          <mc:Fallback>
            <w:pict>
              <v:shape id="文本框 4" o:spid="_x0000_s1026" o:spt="202" type="#_x0000_t202" style="position:absolute;left:0pt;margin-left:315.75pt;margin-top:5.95pt;height:39pt;width:108pt;z-index:251659264;mso-width-relative:page;mso-height-relative:page;" filled="f" stroked="f" coordsize="21600,21600" o:gfxdata="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vRFItYAAAAJAQAADwAAAAAAAAABACAAAAAiAAAAZHJzL2Rvd25yZXYueG1sUEsBAhQAFAAAAAgA&#10;h07iQDarZPa1AQAAXAMAAA4AAAAAAAAAAQAgAAAAJQEAAGRycy9lMm9Eb2MueG1sUEsFBgAAAAAG&#10;AAYAWQEAAEwFAAAAAA==&#10;">
                <v:fill on="f" focussize="0,0"/>
                <v:stroke on="f"/>
                <v:imagedata o:title=""/>
                <o:lock v:ext="edit" aspectratio="f"/>
                <v:textbox>
                  <w:txbxContent>
                    <w:p w14:paraId="1DB0D97E">
                      <w:r>
                        <w:rPr>
                          <w:rFonts w:hint="eastAsia"/>
                        </w:rPr>
                        <w:t>版本：E/0</w:t>
                      </w:r>
                    </w:p>
                    <w:p w14:paraId="2494739E">
                      <w:r>
                        <w:rPr>
                          <w:rFonts w:hint="eastAsia"/>
                        </w:rPr>
                        <w:t>编号：QD-823a-12-07</w:t>
                      </w:r>
                    </w:p>
                  </w:txbxContent>
                </v:textbox>
              </v:shape>
            </w:pict>
          </mc:Fallback>
        </mc:AlternateContent>
      </w:r>
      <w:r>
        <w:rPr>
          <w:rFonts w:eastAsia="楷体_GB2312"/>
          <w:b/>
          <w:bCs/>
          <w:color w:val="000000"/>
          <w:kern w:val="0"/>
          <w:sz w:val="28"/>
          <w:szCs w:val="28"/>
        </w:rPr>
        <w:t>附件（一）</w:t>
      </w:r>
    </w:p>
    <w:p w14:paraId="53DCDA87">
      <w:pPr>
        <w:widowControl/>
        <w:spacing w:line="432" w:lineRule="auto"/>
        <w:jc w:val="center"/>
        <w:rPr>
          <w:rFonts w:eastAsia="楷体_GB2312"/>
          <w:b/>
          <w:bCs/>
          <w:color w:val="000000"/>
          <w:kern w:val="0"/>
          <w:sz w:val="44"/>
          <w:szCs w:val="44"/>
        </w:rPr>
      </w:pPr>
      <w:r>
        <w:rPr>
          <w:rFonts w:eastAsia="楷体_GB2312"/>
          <w:b/>
          <w:bCs/>
          <w:color w:val="000000"/>
          <w:kern w:val="0"/>
          <w:sz w:val="44"/>
          <w:szCs w:val="44"/>
        </w:rPr>
        <w:t>企业招聘申请表</w:t>
      </w:r>
    </w:p>
    <w:tbl>
      <w:tblPr>
        <w:tblStyle w:val="6"/>
        <w:tblW w:w="0" w:type="auto"/>
        <w:jc w:val="center"/>
        <w:tblLayout w:type="autofit"/>
        <w:tblCellMar>
          <w:top w:w="0" w:type="dxa"/>
          <w:left w:w="0" w:type="dxa"/>
          <w:bottom w:w="0" w:type="dxa"/>
          <w:right w:w="0" w:type="dxa"/>
        </w:tblCellMar>
      </w:tblPr>
      <w:tblGrid>
        <w:gridCol w:w="1306"/>
        <w:gridCol w:w="3243"/>
        <w:gridCol w:w="1389"/>
        <w:gridCol w:w="1580"/>
        <w:gridCol w:w="1542"/>
      </w:tblGrid>
      <w:tr w14:paraId="6713B5D3">
        <w:tblPrEx>
          <w:tblCellMar>
            <w:top w:w="0" w:type="dxa"/>
            <w:left w:w="0" w:type="dxa"/>
            <w:bottom w:w="0" w:type="dxa"/>
            <w:right w:w="0" w:type="dxa"/>
          </w:tblCellMar>
        </w:tblPrEx>
        <w:trPr>
          <w:trHeight w:val="681" w:hRule="atLeast"/>
          <w:jc w:val="center"/>
        </w:trPr>
        <w:tc>
          <w:tcPr>
            <w:tcW w:w="130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AB857AA">
            <w:pPr>
              <w:widowControl/>
              <w:jc w:val="center"/>
              <w:rPr>
                <w:rFonts w:eastAsia="楷体_GB2312"/>
                <w:color w:val="000000"/>
                <w:kern w:val="0"/>
                <w:sz w:val="18"/>
                <w:szCs w:val="18"/>
              </w:rPr>
            </w:pPr>
            <w:r>
              <w:rPr>
                <w:rFonts w:eastAsia="楷体_GB2312"/>
                <w:color w:val="000000"/>
                <w:kern w:val="0"/>
                <w:sz w:val="24"/>
              </w:rPr>
              <w:t>单位名称</w:t>
            </w:r>
          </w:p>
        </w:tc>
        <w:tc>
          <w:tcPr>
            <w:tcW w:w="7754" w:type="dxa"/>
            <w:gridSpan w:val="4"/>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D0800CD">
            <w:pPr>
              <w:widowControl/>
              <w:jc w:val="center"/>
              <w:rPr>
                <w:rFonts w:eastAsia="楷体_GB2312"/>
                <w:color w:val="000000"/>
                <w:kern w:val="0"/>
                <w:sz w:val="24"/>
              </w:rPr>
            </w:pPr>
            <w:r>
              <w:rPr>
                <w:rFonts w:hint="eastAsia" w:eastAsia="楷体_GB2312"/>
                <w:color w:val="000000"/>
                <w:kern w:val="0"/>
                <w:sz w:val="28"/>
                <w:szCs w:val="28"/>
              </w:rPr>
              <w:t>扬州艾客满网络科技有限公司</w:t>
            </w:r>
          </w:p>
        </w:tc>
      </w:tr>
      <w:tr w14:paraId="13FF5E2E">
        <w:tblPrEx>
          <w:tblCellMar>
            <w:top w:w="0" w:type="dxa"/>
            <w:left w:w="0" w:type="dxa"/>
            <w:bottom w:w="0" w:type="dxa"/>
            <w:right w:w="0" w:type="dxa"/>
          </w:tblCellMar>
        </w:tblPrEx>
        <w:trPr>
          <w:trHeight w:val="894" w:hRule="atLeast"/>
          <w:jc w:val="center"/>
        </w:trPr>
        <w:tc>
          <w:tcPr>
            <w:tcW w:w="1306" w:type="dxa"/>
            <w:tcBorders>
              <w:top w:val="nil"/>
              <w:left w:val="single" w:color="auto" w:sz="8" w:space="0"/>
              <w:bottom w:val="single" w:color="auto" w:sz="8" w:space="0"/>
              <w:right w:val="single" w:color="auto" w:sz="8" w:space="0"/>
            </w:tcBorders>
            <w:vAlign w:val="center"/>
          </w:tcPr>
          <w:p w14:paraId="7A335B81">
            <w:pPr>
              <w:widowControl/>
              <w:jc w:val="center"/>
              <w:rPr>
                <w:rFonts w:eastAsia="楷体_GB2312"/>
                <w:color w:val="000000"/>
                <w:kern w:val="0"/>
                <w:sz w:val="18"/>
                <w:szCs w:val="18"/>
              </w:rPr>
            </w:pPr>
            <w:r>
              <w:rPr>
                <w:rFonts w:eastAsia="楷体_GB2312"/>
                <w:color w:val="000000"/>
                <w:kern w:val="0"/>
                <w:sz w:val="24"/>
              </w:rPr>
              <w:t>单位地址</w:t>
            </w:r>
          </w:p>
        </w:tc>
        <w:tc>
          <w:tcPr>
            <w:tcW w:w="4632" w:type="dxa"/>
            <w:gridSpan w:val="2"/>
            <w:tcBorders>
              <w:top w:val="nil"/>
              <w:left w:val="nil"/>
              <w:bottom w:val="single" w:color="auto" w:sz="8" w:space="0"/>
              <w:right w:val="single" w:color="auto" w:sz="8" w:space="0"/>
            </w:tcBorders>
            <w:vAlign w:val="center"/>
          </w:tcPr>
          <w:p w14:paraId="1F4A6DBC">
            <w:pPr>
              <w:spacing w:line="480" w:lineRule="auto"/>
              <w:rPr>
                <w:rFonts w:eastAsia="楷体_GB2312"/>
                <w:b/>
                <w:bCs/>
                <w:color w:val="000000"/>
                <w:kern w:val="0"/>
                <w:sz w:val="24"/>
              </w:rPr>
            </w:pPr>
            <w:r>
              <w:rPr>
                <w:rFonts w:eastAsia="楷体_GB2312"/>
                <w:color w:val="000000"/>
                <w:kern w:val="0"/>
                <w:sz w:val="24"/>
              </w:rPr>
              <w:t> </w:t>
            </w:r>
            <w:r>
              <w:rPr>
                <w:rFonts w:hint="eastAsia" w:eastAsia="楷体_GB2312"/>
                <w:color w:val="000000"/>
                <w:kern w:val="0"/>
                <w:sz w:val="24"/>
              </w:rPr>
              <w:t>扬州市广陵区江苏信息服务产业基地二期23号</w:t>
            </w:r>
          </w:p>
        </w:tc>
        <w:tc>
          <w:tcPr>
            <w:tcW w:w="1580" w:type="dxa"/>
            <w:tcBorders>
              <w:top w:val="nil"/>
              <w:left w:val="nil"/>
              <w:bottom w:val="single" w:color="auto" w:sz="8" w:space="0"/>
              <w:right w:val="single" w:color="auto" w:sz="8" w:space="0"/>
            </w:tcBorders>
            <w:tcMar>
              <w:top w:w="0" w:type="dxa"/>
              <w:left w:w="108" w:type="dxa"/>
              <w:bottom w:w="0" w:type="dxa"/>
              <w:right w:w="108" w:type="dxa"/>
            </w:tcMar>
            <w:vAlign w:val="center"/>
          </w:tcPr>
          <w:p w14:paraId="0560812B">
            <w:pPr>
              <w:widowControl/>
              <w:jc w:val="center"/>
              <w:rPr>
                <w:rFonts w:eastAsia="楷体_GB2312"/>
                <w:color w:val="000000"/>
                <w:kern w:val="0"/>
                <w:sz w:val="24"/>
              </w:rPr>
            </w:pPr>
            <w:r>
              <w:rPr>
                <w:rFonts w:eastAsia="楷体_GB2312"/>
                <w:color w:val="000000"/>
                <w:kern w:val="0"/>
                <w:sz w:val="24"/>
              </w:rPr>
              <w:t>单位性质</w:t>
            </w:r>
          </w:p>
        </w:tc>
        <w:tc>
          <w:tcPr>
            <w:tcW w:w="1542" w:type="dxa"/>
            <w:tcBorders>
              <w:top w:val="nil"/>
              <w:left w:val="nil"/>
              <w:bottom w:val="single" w:color="auto" w:sz="8" w:space="0"/>
              <w:right w:val="single" w:color="auto" w:sz="8" w:space="0"/>
            </w:tcBorders>
            <w:tcMar>
              <w:top w:w="0" w:type="dxa"/>
              <w:left w:w="108" w:type="dxa"/>
              <w:bottom w:w="0" w:type="dxa"/>
              <w:right w:w="108" w:type="dxa"/>
            </w:tcMar>
          </w:tcPr>
          <w:p w14:paraId="6248071E">
            <w:pPr>
              <w:widowControl/>
              <w:jc w:val="center"/>
              <w:rPr>
                <w:rFonts w:eastAsia="楷体_GB2312"/>
                <w:color w:val="000000"/>
                <w:kern w:val="0"/>
                <w:sz w:val="24"/>
              </w:rPr>
            </w:pPr>
          </w:p>
          <w:p w14:paraId="0045E218">
            <w:pPr>
              <w:widowControl/>
              <w:jc w:val="center"/>
              <w:rPr>
                <w:rFonts w:eastAsia="楷体_GB2312"/>
                <w:color w:val="000000"/>
                <w:kern w:val="0"/>
                <w:sz w:val="24"/>
              </w:rPr>
            </w:pPr>
            <w:r>
              <w:rPr>
                <w:rFonts w:hint="eastAsia" w:eastAsia="楷体_GB2312"/>
                <w:color w:val="000000"/>
                <w:kern w:val="0"/>
                <w:sz w:val="24"/>
              </w:rPr>
              <w:t>民营企业</w:t>
            </w:r>
          </w:p>
        </w:tc>
      </w:tr>
      <w:tr w14:paraId="4912FFBB">
        <w:tblPrEx>
          <w:tblCellMar>
            <w:top w:w="0" w:type="dxa"/>
            <w:left w:w="0" w:type="dxa"/>
            <w:bottom w:w="0" w:type="dxa"/>
            <w:right w:w="0" w:type="dxa"/>
          </w:tblCellMar>
        </w:tblPrEx>
        <w:trPr>
          <w:trHeight w:val="907" w:hRule="atLeast"/>
          <w:jc w:val="center"/>
        </w:trPr>
        <w:tc>
          <w:tcPr>
            <w:tcW w:w="130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6CCCBAD">
            <w:pPr>
              <w:widowControl/>
              <w:jc w:val="center"/>
              <w:rPr>
                <w:rFonts w:eastAsia="楷体_GB2312"/>
                <w:color w:val="000000"/>
                <w:kern w:val="0"/>
                <w:sz w:val="18"/>
                <w:szCs w:val="18"/>
              </w:rPr>
            </w:pPr>
            <w:r>
              <w:rPr>
                <w:rFonts w:eastAsia="楷体_GB2312"/>
                <w:color w:val="000000"/>
                <w:kern w:val="0"/>
                <w:sz w:val="24"/>
              </w:rPr>
              <w:t>联系人</w:t>
            </w:r>
          </w:p>
        </w:tc>
        <w:tc>
          <w:tcPr>
            <w:tcW w:w="3243" w:type="dxa"/>
            <w:tcBorders>
              <w:top w:val="nil"/>
              <w:left w:val="nil"/>
              <w:bottom w:val="single" w:color="auto" w:sz="8" w:space="0"/>
              <w:right w:val="single" w:color="auto" w:sz="8" w:space="0"/>
            </w:tcBorders>
            <w:tcMar>
              <w:top w:w="0" w:type="dxa"/>
              <w:left w:w="108" w:type="dxa"/>
              <w:bottom w:w="0" w:type="dxa"/>
              <w:right w:w="108" w:type="dxa"/>
            </w:tcMar>
            <w:vAlign w:val="center"/>
          </w:tcPr>
          <w:p w14:paraId="39AE8033">
            <w:pPr>
              <w:spacing w:line="480" w:lineRule="auto"/>
              <w:rPr>
                <w:rFonts w:hint="eastAsia" w:eastAsia="楷体_GB2312"/>
                <w:b/>
                <w:bCs/>
                <w:color w:val="000000"/>
                <w:kern w:val="0"/>
                <w:sz w:val="24"/>
              </w:rPr>
            </w:pPr>
            <w:r>
              <w:rPr>
                <w:rFonts w:hint="eastAsia" w:eastAsia="楷体_GB2312"/>
                <w:color w:val="000000"/>
                <w:kern w:val="0"/>
                <w:sz w:val="24"/>
              </w:rPr>
              <w:t>廖文昌</w:t>
            </w:r>
          </w:p>
        </w:tc>
        <w:tc>
          <w:tcPr>
            <w:tcW w:w="1389" w:type="dxa"/>
            <w:tcBorders>
              <w:top w:val="nil"/>
              <w:left w:val="nil"/>
              <w:bottom w:val="single" w:color="auto" w:sz="8" w:space="0"/>
              <w:right w:val="single" w:color="auto" w:sz="8" w:space="0"/>
            </w:tcBorders>
            <w:tcMar>
              <w:top w:w="0" w:type="dxa"/>
              <w:left w:w="108" w:type="dxa"/>
              <w:bottom w:w="0" w:type="dxa"/>
              <w:right w:w="108" w:type="dxa"/>
            </w:tcMar>
            <w:vAlign w:val="center"/>
          </w:tcPr>
          <w:p w14:paraId="7678F419">
            <w:pPr>
              <w:widowControl/>
              <w:jc w:val="center"/>
              <w:rPr>
                <w:rFonts w:eastAsia="楷体_GB2312"/>
                <w:color w:val="000000"/>
                <w:kern w:val="0"/>
                <w:sz w:val="24"/>
              </w:rPr>
            </w:pPr>
            <w:r>
              <w:rPr>
                <w:rFonts w:eastAsia="楷体_GB2312"/>
                <w:color w:val="000000"/>
                <w:kern w:val="0"/>
                <w:sz w:val="24"/>
              </w:rPr>
              <w:t>办公电话</w:t>
            </w:r>
          </w:p>
        </w:tc>
        <w:tc>
          <w:tcPr>
            <w:tcW w:w="3122"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14:paraId="19395F8A">
            <w:pPr>
              <w:widowControl/>
              <w:jc w:val="center"/>
              <w:rPr>
                <w:rFonts w:eastAsia="楷体_GB2312"/>
                <w:color w:val="000000"/>
                <w:kern w:val="0"/>
                <w:sz w:val="24"/>
              </w:rPr>
            </w:pPr>
            <w:r>
              <w:rPr>
                <w:rFonts w:hint="eastAsia" w:eastAsia="楷体_GB2312"/>
                <w:color w:val="000000"/>
                <w:kern w:val="0"/>
                <w:sz w:val="24"/>
                <w:lang w:val="en-US" w:eastAsia="zh-CN"/>
              </w:rPr>
              <w:t>13535736273</w:t>
            </w:r>
            <w:r>
              <w:rPr>
                <w:rFonts w:eastAsia="楷体_GB2312"/>
                <w:color w:val="000000"/>
                <w:kern w:val="0"/>
                <w:sz w:val="24"/>
              </w:rPr>
              <w:t> </w:t>
            </w:r>
          </w:p>
        </w:tc>
      </w:tr>
      <w:tr w14:paraId="30A52F9A">
        <w:tblPrEx>
          <w:tblCellMar>
            <w:top w:w="0" w:type="dxa"/>
            <w:left w:w="0" w:type="dxa"/>
            <w:bottom w:w="0" w:type="dxa"/>
            <w:right w:w="0" w:type="dxa"/>
          </w:tblCellMar>
        </w:tblPrEx>
        <w:trPr>
          <w:trHeight w:val="732" w:hRule="atLeast"/>
          <w:jc w:val="center"/>
        </w:trPr>
        <w:tc>
          <w:tcPr>
            <w:tcW w:w="130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8E99786">
            <w:pPr>
              <w:widowControl/>
              <w:jc w:val="center"/>
              <w:rPr>
                <w:rFonts w:eastAsia="楷体_GB2312"/>
                <w:color w:val="000000"/>
                <w:kern w:val="0"/>
                <w:sz w:val="18"/>
                <w:szCs w:val="18"/>
              </w:rPr>
            </w:pPr>
            <w:r>
              <w:rPr>
                <w:rFonts w:eastAsia="楷体_GB2312"/>
                <w:color w:val="000000"/>
                <w:kern w:val="0"/>
                <w:sz w:val="24"/>
              </w:rPr>
              <w:t>手机</w:t>
            </w:r>
          </w:p>
        </w:tc>
        <w:tc>
          <w:tcPr>
            <w:tcW w:w="3243" w:type="dxa"/>
            <w:tcBorders>
              <w:top w:val="nil"/>
              <w:left w:val="nil"/>
              <w:bottom w:val="single" w:color="auto" w:sz="8" w:space="0"/>
              <w:right w:val="single" w:color="auto" w:sz="8" w:space="0"/>
            </w:tcBorders>
            <w:tcMar>
              <w:top w:w="0" w:type="dxa"/>
              <w:left w:w="108" w:type="dxa"/>
              <w:bottom w:w="0" w:type="dxa"/>
              <w:right w:w="108" w:type="dxa"/>
            </w:tcMar>
            <w:vAlign w:val="center"/>
          </w:tcPr>
          <w:p w14:paraId="3466F3C8">
            <w:pPr>
              <w:spacing w:line="480" w:lineRule="auto"/>
              <w:rPr>
                <w:rFonts w:hint="eastAsia" w:eastAsia="楷体_GB2312"/>
                <w:color w:val="000000"/>
                <w:kern w:val="0"/>
                <w:sz w:val="24"/>
              </w:rPr>
            </w:pPr>
            <w:r>
              <w:rPr>
                <w:rFonts w:hint="eastAsia" w:eastAsia="楷体_GB2312"/>
                <w:color w:val="000000"/>
                <w:kern w:val="0"/>
                <w:sz w:val="24"/>
              </w:rPr>
              <w:t>13535736273</w:t>
            </w:r>
          </w:p>
        </w:tc>
        <w:tc>
          <w:tcPr>
            <w:tcW w:w="1389" w:type="dxa"/>
            <w:tcBorders>
              <w:top w:val="nil"/>
              <w:left w:val="nil"/>
              <w:bottom w:val="single" w:color="auto" w:sz="8" w:space="0"/>
              <w:right w:val="single" w:color="auto" w:sz="8" w:space="0"/>
            </w:tcBorders>
            <w:tcMar>
              <w:top w:w="0" w:type="dxa"/>
              <w:left w:w="108" w:type="dxa"/>
              <w:bottom w:w="0" w:type="dxa"/>
              <w:right w:w="108" w:type="dxa"/>
            </w:tcMar>
            <w:vAlign w:val="center"/>
          </w:tcPr>
          <w:p w14:paraId="6CA2FC1F">
            <w:pPr>
              <w:widowControl/>
              <w:jc w:val="center"/>
              <w:rPr>
                <w:rFonts w:eastAsia="楷体_GB2312"/>
                <w:color w:val="000000"/>
                <w:kern w:val="0"/>
                <w:sz w:val="24"/>
              </w:rPr>
            </w:pPr>
            <w:r>
              <w:rPr>
                <w:rFonts w:eastAsia="楷体_GB2312"/>
                <w:color w:val="000000"/>
                <w:kern w:val="0"/>
                <w:sz w:val="24"/>
              </w:rPr>
              <w:t>邮箱</w:t>
            </w:r>
          </w:p>
        </w:tc>
        <w:tc>
          <w:tcPr>
            <w:tcW w:w="3122"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14:paraId="43AF2181">
            <w:pPr>
              <w:widowControl/>
              <w:jc w:val="center"/>
              <w:rPr>
                <w:rFonts w:hint="default" w:eastAsia="楷体_GB2312"/>
                <w:color w:val="000000"/>
                <w:kern w:val="0"/>
                <w:sz w:val="24"/>
                <w:lang w:val="en-US" w:eastAsia="zh-CN"/>
              </w:rPr>
            </w:pPr>
            <w:r>
              <w:rPr>
                <w:rFonts w:hint="eastAsia" w:eastAsia="楷体_GB2312"/>
                <w:color w:val="000000"/>
                <w:kern w:val="0"/>
                <w:sz w:val="24"/>
                <w:lang w:val="en-US" w:eastAsia="zh-CN"/>
              </w:rPr>
              <w:t>微信联系（同上）</w:t>
            </w:r>
          </w:p>
        </w:tc>
      </w:tr>
      <w:tr w14:paraId="443474BA">
        <w:tblPrEx>
          <w:tblCellMar>
            <w:top w:w="0" w:type="dxa"/>
            <w:left w:w="0" w:type="dxa"/>
            <w:bottom w:w="0" w:type="dxa"/>
            <w:right w:w="0" w:type="dxa"/>
          </w:tblCellMar>
        </w:tblPrEx>
        <w:trPr>
          <w:trHeight w:val="2929" w:hRule="atLeast"/>
          <w:jc w:val="center"/>
        </w:trPr>
        <w:tc>
          <w:tcPr>
            <w:tcW w:w="9060"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14:paraId="26703BEE">
            <w:pPr>
              <w:widowControl/>
              <w:jc w:val="left"/>
              <w:rPr>
                <w:rFonts w:hint="eastAsia" w:eastAsia="楷体_GB2312"/>
                <w:color w:val="000000"/>
                <w:kern w:val="0"/>
                <w:sz w:val="18"/>
                <w:szCs w:val="18"/>
              </w:rPr>
            </w:pPr>
            <w:r>
              <w:rPr>
                <w:rFonts w:hint="eastAsia" w:eastAsia="楷体_GB2312"/>
                <w:color w:val="000000"/>
                <w:kern w:val="0"/>
                <w:sz w:val="24"/>
              </w:rPr>
              <w:t>一、</w:t>
            </w:r>
            <w:r>
              <w:rPr>
                <w:rFonts w:eastAsia="楷体_GB2312"/>
                <w:color w:val="000000"/>
                <w:kern w:val="0"/>
                <w:sz w:val="24"/>
              </w:rPr>
              <w:t>公司简介</w:t>
            </w:r>
            <w:r>
              <w:rPr>
                <w:rFonts w:hint="eastAsia" w:eastAsia="楷体_GB2312"/>
                <w:color w:val="000000"/>
                <w:kern w:val="0"/>
                <w:sz w:val="24"/>
              </w:rPr>
              <w:t>：</w:t>
            </w:r>
          </w:p>
          <w:p w14:paraId="3AB7ED88">
            <w:pPr>
              <w:rPr>
                <w:rFonts w:hint="eastAsia" w:eastAsia="楷体_GB2312"/>
                <w:color w:val="000000"/>
                <w:kern w:val="0"/>
                <w:sz w:val="24"/>
              </w:rPr>
            </w:pPr>
            <w:r>
              <w:rPr>
                <w:rFonts w:hint="eastAsia" w:eastAsia="楷体_GB2312"/>
                <w:color w:val="000000"/>
                <w:kern w:val="0"/>
                <w:sz w:val="24"/>
              </w:rPr>
              <w:t>扬州艾客满网络科技有限公司是一家专注于为国际知名品牌提供卓越电商平台客户服务的专业机构。公司依托扬州、南京双办公中心的战略布局，汇聚专业人才，致力于为品牌合作伙伴提供高效、精准、优质的线上客户体验解决方案。</w:t>
            </w:r>
          </w:p>
          <w:p w14:paraId="3D204C9A">
            <w:pPr>
              <w:rPr>
                <w:rFonts w:eastAsia="楷体_GB2312"/>
                <w:color w:val="000000"/>
                <w:kern w:val="0"/>
                <w:sz w:val="24"/>
              </w:rPr>
            </w:pPr>
          </w:p>
          <w:p w14:paraId="1B2793C1">
            <w:pPr>
              <w:rPr>
                <w:rFonts w:hint="eastAsia" w:eastAsia="楷体_GB2312"/>
                <w:color w:val="000000"/>
                <w:kern w:val="0"/>
                <w:sz w:val="24"/>
              </w:rPr>
            </w:pPr>
            <w:r>
              <w:rPr>
                <w:rFonts w:hint="eastAsia" w:eastAsia="楷体_GB2312"/>
                <w:color w:val="000000"/>
                <w:kern w:val="0"/>
                <w:sz w:val="24"/>
              </w:rPr>
              <w:t>公司核心业务为承接并运营全球家电巨头——海尔（Haier）与A.O.史密斯（A.O. Smith）两大品牌的电商平台全链路客服业务（覆盖天猫、京东等主流平台）。</w:t>
            </w:r>
          </w:p>
          <w:p w14:paraId="585C047D">
            <w:pPr>
              <w:rPr>
                <w:rFonts w:eastAsia="楷体_GB2312"/>
                <w:color w:val="000000"/>
                <w:kern w:val="0"/>
                <w:sz w:val="24"/>
              </w:rPr>
            </w:pPr>
          </w:p>
          <w:p w14:paraId="25D7A16B">
            <w:pPr>
              <w:rPr>
                <w:rFonts w:eastAsia="楷体_GB2312"/>
                <w:color w:val="000000"/>
                <w:kern w:val="0"/>
                <w:sz w:val="24"/>
              </w:rPr>
            </w:pPr>
            <w:r>
              <w:rPr>
                <w:rFonts w:hint="eastAsia" w:eastAsia="楷体_GB2312"/>
                <w:color w:val="000000"/>
                <w:kern w:val="0"/>
                <w:sz w:val="24"/>
              </w:rPr>
              <w:t>扬州艾客满凭借对海尔（全球智慧家电领导者）与A.O.史密斯（百年专业热水/净水专家）品牌优势的深刻理解，致力于通过专业的客服销售团队，提供售前咨询、售中转化及售后支持服务，提升消费者体验，驱动品牌电商增长。</w:t>
            </w:r>
          </w:p>
          <w:p w14:paraId="444E66F2">
            <w:pPr>
              <w:rPr>
                <w:rFonts w:eastAsia="楷体_GB2312"/>
                <w:color w:val="000000"/>
                <w:kern w:val="0"/>
                <w:sz w:val="24"/>
              </w:rPr>
            </w:pPr>
          </w:p>
          <w:p w14:paraId="63A9D718">
            <w:pPr>
              <w:rPr>
                <w:rFonts w:eastAsia="楷体_GB2312"/>
                <w:color w:val="000000"/>
                <w:kern w:val="0"/>
                <w:sz w:val="24"/>
              </w:rPr>
            </w:pPr>
          </w:p>
          <w:p w14:paraId="6F9DA74A">
            <w:pPr>
              <w:rPr>
                <w:rFonts w:eastAsia="楷体_GB2312"/>
                <w:color w:val="000000"/>
                <w:kern w:val="0"/>
                <w:sz w:val="24"/>
              </w:rPr>
            </w:pPr>
          </w:p>
          <w:p w14:paraId="23F7B2A4">
            <w:pPr>
              <w:rPr>
                <w:rFonts w:eastAsia="楷体_GB2312"/>
                <w:color w:val="000000"/>
                <w:kern w:val="0"/>
                <w:sz w:val="24"/>
              </w:rPr>
            </w:pPr>
          </w:p>
          <w:p w14:paraId="6CFC75BE">
            <w:pPr>
              <w:rPr>
                <w:rFonts w:eastAsia="楷体_GB2312"/>
                <w:color w:val="000000"/>
                <w:kern w:val="0"/>
                <w:sz w:val="24"/>
              </w:rPr>
            </w:pPr>
          </w:p>
          <w:p w14:paraId="5F342625">
            <w:pPr>
              <w:rPr>
                <w:rFonts w:eastAsia="楷体_GB2312"/>
                <w:color w:val="000000"/>
                <w:kern w:val="0"/>
                <w:sz w:val="24"/>
              </w:rPr>
            </w:pPr>
          </w:p>
          <w:p w14:paraId="4902DD74">
            <w:pPr>
              <w:rPr>
                <w:rFonts w:eastAsia="楷体_GB2312"/>
                <w:color w:val="000000"/>
                <w:kern w:val="0"/>
                <w:sz w:val="24"/>
              </w:rPr>
            </w:pPr>
          </w:p>
          <w:p w14:paraId="4507E67A">
            <w:pPr>
              <w:rPr>
                <w:rFonts w:eastAsia="楷体_GB2312"/>
                <w:color w:val="000000"/>
                <w:kern w:val="0"/>
                <w:sz w:val="24"/>
              </w:rPr>
            </w:pPr>
          </w:p>
          <w:p w14:paraId="4F7B31DB">
            <w:pPr>
              <w:rPr>
                <w:rFonts w:hint="eastAsia" w:eastAsia="楷体_GB2312"/>
                <w:sz w:val="18"/>
                <w:szCs w:val="18"/>
              </w:rPr>
            </w:pPr>
          </w:p>
        </w:tc>
      </w:tr>
      <w:tr w14:paraId="04B0E896">
        <w:tblPrEx>
          <w:tblCellMar>
            <w:top w:w="0" w:type="dxa"/>
            <w:left w:w="0" w:type="dxa"/>
            <w:bottom w:w="0" w:type="dxa"/>
            <w:right w:w="0" w:type="dxa"/>
          </w:tblCellMar>
        </w:tblPrEx>
        <w:trPr>
          <w:trHeight w:val="6928" w:hRule="atLeast"/>
          <w:jc w:val="center"/>
        </w:trPr>
        <w:tc>
          <w:tcPr>
            <w:tcW w:w="9060" w:type="dxa"/>
            <w:gridSpan w:val="5"/>
            <w:tcBorders>
              <w:top w:val="nil"/>
              <w:left w:val="single" w:color="auto" w:sz="8" w:space="0"/>
              <w:bottom w:val="nil"/>
              <w:right w:val="single" w:color="auto" w:sz="8" w:space="0"/>
            </w:tcBorders>
            <w:tcMar>
              <w:top w:w="0" w:type="dxa"/>
              <w:left w:w="108" w:type="dxa"/>
              <w:bottom w:w="0" w:type="dxa"/>
              <w:right w:w="108" w:type="dxa"/>
            </w:tcMar>
          </w:tcPr>
          <w:p w14:paraId="568A1E51">
            <w:pPr>
              <w:widowControl/>
              <w:jc w:val="left"/>
              <w:rPr>
                <w:rFonts w:eastAsia="楷体_GB2312"/>
                <w:color w:val="000000"/>
                <w:kern w:val="0"/>
                <w:sz w:val="24"/>
              </w:rPr>
            </w:pPr>
          </w:p>
          <w:p w14:paraId="02915619">
            <w:pPr>
              <w:widowControl/>
              <w:jc w:val="left"/>
              <w:rPr>
                <w:rFonts w:hint="eastAsia" w:eastAsia="楷体_GB2312"/>
                <w:color w:val="000000"/>
                <w:kern w:val="0"/>
                <w:sz w:val="24"/>
              </w:rPr>
            </w:pPr>
            <w:r>
              <w:rPr>
                <w:rFonts w:hint="eastAsia" w:eastAsia="楷体_GB2312"/>
                <w:color w:val="000000"/>
                <w:kern w:val="0"/>
                <w:sz w:val="24"/>
              </w:rPr>
              <w:t>二、</w:t>
            </w:r>
            <w:r>
              <w:rPr>
                <w:rFonts w:eastAsia="楷体_GB2312"/>
                <w:color w:val="000000"/>
                <w:kern w:val="0"/>
                <w:sz w:val="24"/>
              </w:rPr>
              <w:t>招聘岗位及要求</w:t>
            </w:r>
            <w:r>
              <w:rPr>
                <w:rFonts w:hint="eastAsia" w:eastAsia="楷体_GB2312"/>
                <w:color w:val="000000"/>
                <w:kern w:val="0"/>
                <w:sz w:val="24"/>
              </w:rPr>
              <w:t>：</w:t>
            </w:r>
            <w:r>
              <w:rPr>
                <w:rFonts w:eastAsia="楷体_GB2312"/>
                <w:color w:val="000000"/>
                <w:kern w:val="0"/>
                <w:sz w:val="24"/>
              </w:rPr>
              <w:br w:type="textWrapping"/>
            </w:r>
            <w:r>
              <w:rPr>
                <w:rFonts w:eastAsia="楷体_GB2312"/>
                <w:color w:val="000000"/>
                <w:kern w:val="0"/>
                <w:sz w:val="24"/>
              </w:rPr>
              <w:br w:type="textWrapping"/>
            </w:r>
            <w:r>
              <w:rPr>
                <w:rFonts w:hint="eastAsia"/>
                <w:b/>
                <w:bCs/>
                <w:spacing w:val="-10"/>
                <w:sz w:val="24"/>
              </w:rPr>
              <w:t xml:space="preserve">在线销售达人： </w:t>
            </w:r>
            <w:r>
              <w:rPr>
                <w:rFonts w:hint="eastAsia"/>
                <w:spacing w:val="-10"/>
                <w:sz w:val="24"/>
              </w:rPr>
              <w:t>在天猫、京东等平台，通过在线聊天/电话，热情解答咨询，精准推荐产品，全力促成订单，达成销售目标！</w:t>
            </w:r>
            <w:r>
              <w:rPr>
                <w:spacing w:val="-10"/>
                <w:sz w:val="24"/>
              </w:rPr>
              <w:br w:type="textWrapping"/>
            </w:r>
          </w:p>
          <w:p w14:paraId="59FBAE21">
            <w:pPr>
              <w:pStyle w:val="12"/>
              <w:spacing w:before="116" w:line="360" w:lineRule="auto"/>
              <w:rPr>
                <w:rFonts w:hint="eastAsia"/>
                <w:spacing w:val="-10"/>
                <w:sz w:val="24"/>
                <w:szCs w:val="24"/>
                <w:lang w:eastAsia="zh-CN"/>
              </w:rPr>
            </w:pPr>
            <w:r>
              <w:rPr>
                <w:rFonts w:hint="eastAsia"/>
                <w:b/>
                <w:bCs/>
                <w:spacing w:val="-10"/>
                <w:sz w:val="24"/>
                <w:szCs w:val="24"/>
                <w:lang w:eastAsia="zh-CN"/>
              </w:rPr>
              <w:t xml:space="preserve">品牌专家： </w:t>
            </w:r>
            <w:r>
              <w:rPr>
                <w:rFonts w:hint="eastAsia"/>
                <w:spacing w:val="-10"/>
                <w:sz w:val="24"/>
                <w:szCs w:val="24"/>
                <w:lang w:eastAsia="zh-CN"/>
              </w:rPr>
              <w:t>深入掌握产品优势与品牌精髓，专业传递价值，提升品牌形象。</w:t>
            </w:r>
            <w:r>
              <w:rPr>
                <w:spacing w:val="-10"/>
                <w:sz w:val="24"/>
                <w:szCs w:val="24"/>
                <w:lang w:eastAsia="zh-CN"/>
              </w:rPr>
              <w:br w:type="textWrapping"/>
            </w:r>
          </w:p>
          <w:p w14:paraId="60115E8B">
            <w:pPr>
              <w:pStyle w:val="12"/>
              <w:spacing w:before="116" w:line="360" w:lineRule="auto"/>
              <w:rPr>
                <w:rFonts w:hint="eastAsia"/>
                <w:spacing w:val="-10"/>
                <w:sz w:val="24"/>
                <w:szCs w:val="24"/>
                <w:lang w:eastAsia="zh-CN"/>
              </w:rPr>
            </w:pPr>
            <w:r>
              <w:rPr>
                <w:rFonts w:hint="eastAsia"/>
                <w:b/>
                <w:bCs/>
                <w:spacing w:val="-10"/>
                <w:sz w:val="24"/>
                <w:szCs w:val="24"/>
                <w:lang w:eastAsia="zh-CN"/>
              </w:rPr>
              <w:t xml:space="preserve">服务标兵： </w:t>
            </w:r>
            <w:r>
              <w:rPr>
                <w:rFonts w:hint="eastAsia"/>
                <w:spacing w:val="-10"/>
                <w:sz w:val="24"/>
                <w:szCs w:val="24"/>
                <w:lang w:eastAsia="zh-CN"/>
              </w:rPr>
              <w:t>高效处理售前咨询、售中跟进及基础售后问题，提供专业、贴心、有温度的服务体验，赢得顾客满意与忠诚。</w:t>
            </w:r>
            <w:r>
              <w:rPr>
                <w:spacing w:val="-10"/>
                <w:sz w:val="24"/>
                <w:szCs w:val="24"/>
                <w:lang w:eastAsia="zh-CN"/>
              </w:rPr>
              <w:br w:type="textWrapping"/>
            </w:r>
          </w:p>
          <w:p w14:paraId="10CE4CBE">
            <w:pPr>
              <w:widowControl/>
              <w:jc w:val="left"/>
              <w:rPr>
                <w:rFonts w:eastAsia="楷体_GB2312"/>
                <w:color w:val="000000"/>
                <w:kern w:val="0"/>
                <w:sz w:val="24"/>
              </w:rPr>
            </w:pPr>
            <w:r>
              <w:rPr>
                <w:rFonts w:hint="eastAsia"/>
                <w:b/>
                <w:bCs/>
                <w:spacing w:val="-10"/>
                <w:sz w:val="24"/>
              </w:rPr>
              <w:t xml:space="preserve">客户伙伴： </w:t>
            </w:r>
            <w:r>
              <w:rPr>
                <w:rFonts w:hint="eastAsia" w:ascii="宋体" w:hAnsi="宋体" w:cs="宋体"/>
                <w:spacing w:val="-10"/>
                <w:sz w:val="24"/>
              </w:rPr>
              <w:t>用心维护客户关系，促进复购与口碑传播。</w:t>
            </w:r>
            <w:r>
              <w:rPr>
                <w:rFonts w:ascii="宋体" w:hAnsi="宋体" w:cs="宋体"/>
                <w:spacing w:val="-10"/>
                <w:sz w:val="24"/>
              </w:rPr>
              <w:br w:type="textWrapping"/>
            </w:r>
            <w:r>
              <w:rPr>
                <w:rFonts w:ascii="宋体" w:hAnsi="宋体" w:cs="宋体"/>
                <w:spacing w:val="-10"/>
                <w:sz w:val="24"/>
              </w:rPr>
              <w:br w:type="textWrapping"/>
            </w:r>
            <w:r>
              <w:rPr>
                <w:rFonts w:hint="eastAsia" w:eastAsia="楷体_GB2312"/>
                <w:color w:val="000000"/>
                <w:kern w:val="0"/>
                <w:sz w:val="24"/>
              </w:rPr>
              <w:t>三、薪资福利</w:t>
            </w:r>
          </w:p>
          <w:p w14:paraId="015CD5B0">
            <w:pPr>
              <w:widowControl/>
              <w:jc w:val="left"/>
              <w:rPr>
                <w:rFonts w:hint="eastAsia" w:eastAsia="楷体_GB2312"/>
                <w:color w:val="000000"/>
                <w:kern w:val="0"/>
                <w:sz w:val="24"/>
              </w:rPr>
            </w:pPr>
            <w:r>
              <w:rPr>
                <w:rFonts w:eastAsia="楷体_GB2312"/>
                <w:color w:val="000000"/>
                <w:kern w:val="0"/>
                <w:sz w:val="24"/>
              </w:rPr>
              <w:t>1. 薪资待遇： </w:t>
            </w:r>
            <w:r>
              <w:rPr>
                <w:rFonts w:hint="eastAsia" w:eastAsia="楷体_GB2312"/>
                <w:color w:val="000000"/>
                <w:kern w:val="0"/>
                <w:sz w:val="24"/>
              </w:rPr>
              <w:t>月薪3500-6000元（基本薪资+绩效奖金构成），能力越强、薪资越高，提供具有竞争力的成长空间。</w:t>
            </w:r>
            <w:r>
              <w:rPr>
                <w:rFonts w:eastAsia="楷体_GB2312"/>
                <w:color w:val="000000"/>
                <w:kern w:val="0"/>
                <w:sz w:val="24"/>
              </w:rPr>
              <w:br w:type="textWrapping"/>
            </w:r>
            <w:r>
              <w:rPr>
                <w:rFonts w:eastAsia="楷体_GB2312"/>
                <w:color w:val="000000"/>
                <w:kern w:val="0"/>
                <w:sz w:val="24"/>
              </w:rPr>
              <w:t>2. 福利保障： 享有节日福利，不定期组织团队建设活动，并建立完善的晋升机制。</w:t>
            </w:r>
            <w:r>
              <w:rPr>
                <w:rFonts w:eastAsia="楷体_GB2312"/>
                <w:color w:val="000000"/>
                <w:kern w:val="0"/>
                <w:sz w:val="24"/>
              </w:rPr>
              <w:br w:type="textWrapping"/>
            </w:r>
            <w:r>
              <w:rPr>
                <w:rFonts w:eastAsia="楷体_GB2312"/>
                <w:color w:val="000000"/>
                <w:kern w:val="0"/>
                <w:sz w:val="24"/>
              </w:rPr>
              <w:t>3. 培训发展： 提供完善的入职培训与持续的职业技能提升机会，拥有清晰的晋升通道和广阔的职业发展空间。</w:t>
            </w:r>
            <w:r>
              <w:rPr>
                <w:rFonts w:eastAsia="楷体_GB2312"/>
                <w:color w:val="000000"/>
                <w:kern w:val="0"/>
                <w:sz w:val="24"/>
              </w:rPr>
              <w:br w:type="textWrapping"/>
            </w:r>
            <w:r>
              <w:rPr>
                <w:rFonts w:eastAsia="楷体_GB2312"/>
                <w:color w:val="000000"/>
                <w:kern w:val="0"/>
                <w:sz w:val="24"/>
              </w:rPr>
              <w:t>4. 工作环境： 置身于舒适的办公环境，体验扁平化管理模式，融入开放包容的企业文化。</w:t>
            </w:r>
            <w:r>
              <w:rPr>
                <w:rFonts w:eastAsia="楷体_GB2312"/>
                <w:color w:val="000000"/>
                <w:kern w:val="0"/>
                <w:sz w:val="24"/>
              </w:rPr>
              <w:br w:type="textWrapping"/>
            </w:r>
            <w:r>
              <w:rPr>
                <w:rFonts w:eastAsia="楷体_GB2312"/>
                <w:color w:val="000000"/>
                <w:kern w:val="0"/>
                <w:sz w:val="24"/>
              </w:rPr>
              <w:br w:type="textWrapping"/>
            </w:r>
            <w:r>
              <w:rPr>
                <w:rFonts w:hint="eastAsia" w:eastAsia="楷体_GB2312"/>
                <w:color w:val="000000"/>
                <w:kern w:val="0"/>
                <w:sz w:val="24"/>
              </w:rPr>
              <w:t>四、应聘方式</w:t>
            </w:r>
            <w:r>
              <w:rPr>
                <w:rFonts w:eastAsia="楷体_GB2312"/>
                <w:color w:val="000000"/>
                <w:kern w:val="0"/>
                <w:sz w:val="24"/>
              </w:rPr>
              <w:br w:type="textWrapping"/>
            </w:r>
            <w:r>
              <w:rPr>
                <w:rFonts w:eastAsia="楷体_GB2312"/>
                <w:color w:val="000000"/>
                <w:kern w:val="0"/>
                <w:sz w:val="24"/>
              </w:rPr>
              <w:br w:type="textWrapping"/>
            </w:r>
            <w:r>
              <w:rPr>
                <w:rFonts w:eastAsia="楷体_GB2312"/>
                <w:color w:val="000000"/>
                <w:kern w:val="0"/>
                <w:sz w:val="24"/>
              </w:rPr>
              <w:br w:type="textWrapping"/>
            </w:r>
            <w:r>
              <w:rPr>
                <w:rFonts w:eastAsia="楷体_GB2312"/>
                <w:color w:val="000000"/>
                <w:kern w:val="0"/>
                <w:sz w:val="24"/>
              </w:rPr>
              <w:br w:type="textWrapping"/>
            </w:r>
            <w:r>
              <w:rPr>
                <w:rFonts w:eastAsia="楷体_GB2312"/>
                <w:color w:val="000000"/>
                <w:kern w:val="0"/>
                <w:sz w:val="24"/>
              </w:rPr>
              <w:br w:type="textWrapping"/>
            </w:r>
            <w:r>
              <w:rPr>
                <w:rFonts w:eastAsia="楷体_GB2312"/>
                <w:color w:val="000000"/>
                <w:kern w:val="0"/>
                <w:sz w:val="24"/>
              </w:rPr>
              <w:br w:type="textWrapping"/>
            </w:r>
            <w:r>
              <w:rPr>
                <w:rFonts w:eastAsia="楷体_GB2312"/>
                <w:color w:val="000000"/>
                <w:kern w:val="0"/>
                <w:sz w:val="24"/>
              </w:rPr>
              <w:br w:type="textWrapping"/>
            </w:r>
          </w:p>
          <w:p w14:paraId="2B3E91B3">
            <w:pPr>
              <w:widowControl/>
              <w:jc w:val="left"/>
              <w:rPr>
                <w:rFonts w:eastAsia="楷体_GB2312"/>
                <w:color w:val="000000"/>
                <w:kern w:val="0"/>
                <w:sz w:val="24"/>
              </w:rPr>
            </w:pPr>
            <w:r>
              <w:rPr>
                <w:rFonts w:hint="eastAsia" w:eastAsia="楷体_GB2312"/>
                <w:color w:val="000000"/>
                <w:kern w:val="0"/>
                <w:sz w:val="24"/>
              </w:rPr>
              <w:t xml:space="preserve">五、招聘流程 </w:t>
            </w:r>
          </w:p>
          <w:p w14:paraId="300D2E2B">
            <w:pPr>
              <w:widowControl/>
              <w:jc w:val="left"/>
              <w:rPr>
                <w:rFonts w:eastAsia="楷体_GB2312"/>
                <w:color w:val="000000"/>
                <w:kern w:val="0"/>
                <w:sz w:val="24"/>
              </w:rPr>
            </w:pPr>
          </w:p>
        </w:tc>
      </w:tr>
    </w:tbl>
    <w:p w14:paraId="11D7887A">
      <w:pPr>
        <w:pStyle w:val="5"/>
        <w:rPr>
          <w:rFonts w:ascii="Times New Roman" w:hAnsi="Times New Roman" w:eastAsia="楷体" w:cs="Times New Roman"/>
          <w:b/>
          <w:bCs/>
          <w:color w:val="000000"/>
          <w:sz w:val="28"/>
          <w:szCs w:val="28"/>
        </w:rPr>
      </w:pPr>
    </w:p>
    <w:sectPr>
      <w:pgSz w:w="11906" w:h="16838"/>
      <w:pgMar w:top="1077" w:right="1531" w:bottom="107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3411F"/>
    <w:rsid w:val="00157864"/>
    <w:rsid w:val="00166550"/>
    <w:rsid w:val="00171E19"/>
    <w:rsid w:val="001773BC"/>
    <w:rsid w:val="001B0E72"/>
    <w:rsid w:val="001B6E89"/>
    <w:rsid w:val="001B7333"/>
    <w:rsid w:val="00204538"/>
    <w:rsid w:val="00225D43"/>
    <w:rsid w:val="00227A02"/>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F60EC"/>
    <w:rsid w:val="004018B0"/>
    <w:rsid w:val="00430FAD"/>
    <w:rsid w:val="00432BA8"/>
    <w:rsid w:val="004513FB"/>
    <w:rsid w:val="00455D75"/>
    <w:rsid w:val="00456D11"/>
    <w:rsid w:val="00457294"/>
    <w:rsid w:val="00480C79"/>
    <w:rsid w:val="004C2FF1"/>
    <w:rsid w:val="004D51C6"/>
    <w:rsid w:val="004D6A04"/>
    <w:rsid w:val="005033C8"/>
    <w:rsid w:val="005054CC"/>
    <w:rsid w:val="005078CD"/>
    <w:rsid w:val="005202D6"/>
    <w:rsid w:val="00521B9B"/>
    <w:rsid w:val="00535A2B"/>
    <w:rsid w:val="00540EA7"/>
    <w:rsid w:val="00543E34"/>
    <w:rsid w:val="00553BD3"/>
    <w:rsid w:val="00554077"/>
    <w:rsid w:val="00565D98"/>
    <w:rsid w:val="00583C48"/>
    <w:rsid w:val="00593F37"/>
    <w:rsid w:val="005E2F7E"/>
    <w:rsid w:val="005E4A0A"/>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2222"/>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9F17A3"/>
    <w:rsid w:val="00A259C7"/>
    <w:rsid w:val="00A31ED7"/>
    <w:rsid w:val="00A3242E"/>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70919"/>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DF5D87"/>
    <w:rsid w:val="00E001E6"/>
    <w:rsid w:val="00E10C91"/>
    <w:rsid w:val="00E34B47"/>
    <w:rsid w:val="00E4266D"/>
    <w:rsid w:val="00E42FB8"/>
    <w:rsid w:val="00E5187A"/>
    <w:rsid w:val="00E5663F"/>
    <w:rsid w:val="00E5710D"/>
    <w:rsid w:val="00E674D7"/>
    <w:rsid w:val="00E72138"/>
    <w:rsid w:val="00E73E2E"/>
    <w:rsid w:val="00E90BEA"/>
    <w:rsid w:val="00E95527"/>
    <w:rsid w:val="00EB1C0E"/>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18729CC"/>
    <w:rsid w:val="019D3D9C"/>
    <w:rsid w:val="02F037D2"/>
    <w:rsid w:val="037800D1"/>
    <w:rsid w:val="03EF5EB9"/>
    <w:rsid w:val="04006667"/>
    <w:rsid w:val="059705B7"/>
    <w:rsid w:val="08774529"/>
    <w:rsid w:val="08AC4379"/>
    <w:rsid w:val="09C76530"/>
    <w:rsid w:val="0C5E6A7B"/>
    <w:rsid w:val="0D1A523B"/>
    <w:rsid w:val="0DF30354"/>
    <w:rsid w:val="0EEE7499"/>
    <w:rsid w:val="0F2C7FC2"/>
    <w:rsid w:val="10E430B3"/>
    <w:rsid w:val="11140D0D"/>
    <w:rsid w:val="11974B19"/>
    <w:rsid w:val="1211524D"/>
    <w:rsid w:val="13A22600"/>
    <w:rsid w:val="13BB7B66"/>
    <w:rsid w:val="142C10D4"/>
    <w:rsid w:val="15E300E0"/>
    <w:rsid w:val="18AD3F21"/>
    <w:rsid w:val="196811FE"/>
    <w:rsid w:val="1D491F5C"/>
    <w:rsid w:val="1D951428"/>
    <w:rsid w:val="1D95727D"/>
    <w:rsid w:val="1EB37DB8"/>
    <w:rsid w:val="235002CB"/>
    <w:rsid w:val="25783B09"/>
    <w:rsid w:val="263A491A"/>
    <w:rsid w:val="263C68E5"/>
    <w:rsid w:val="275D4D64"/>
    <w:rsid w:val="27914A0E"/>
    <w:rsid w:val="297B6B20"/>
    <w:rsid w:val="2A1C5AC8"/>
    <w:rsid w:val="2C864D5D"/>
    <w:rsid w:val="2F9F4D71"/>
    <w:rsid w:val="2FC569A4"/>
    <w:rsid w:val="30A6777C"/>
    <w:rsid w:val="319C292D"/>
    <w:rsid w:val="32755658"/>
    <w:rsid w:val="37694EBD"/>
    <w:rsid w:val="386121DB"/>
    <w:rsid w:val="3882287D"/>
    <w:rsid w:val="38EC7CF6"/>
    <w:rsid w:val="3AA7481D"/>
    <w:rsid w:val="3AFC6E6D"/>
    <w:rsid w:val="3B385475"/>
    <w:rsid w:val="3BC9431F"/>
    <w:rsid w:val="3C862210"/>
    <w:rsid w:val="3DE43692"/>
    <w:rsid w:val="3E7C7D6E"/>
    <w:rsid w:val="40550877"/>
    <w:rsid w:val="407C5E04"/>
    <w:rsid w:val="413401E0"/>
    <w:rsid w:val="425E412C"/>
    <w:rsid w:val="43745D0F"/>
    <w:rsid w:val="448E2B3E"/>
    <w:rsid w:val="4493196E"/>
    <w:rsid w:val="44DF2E05"/>
    <w:rsid w:val="465A6BE7"/>
    <w:rsid w:val="47354F5E"/>
    <w:rsid w:val="47906638"/>
    <w:rsid w:val="4B92010E"/>
    <w:rsid w:val="4C4579F1"/>
    <w:rsid w:val="4D1F6B46"/>
    <w:rsid w:val="4D9D560B"/>
    <w:rsid w:val="4FFD16B4"/>
    <w:rsid w:val="50835AAB"/>
    <w:rsid w:val="50CA4969"/>
    <w:rsid w:val="50CF3D2E"/>
    <w:rsid w:val="513C5EEB"/>
    <w:rsid w:val="52BC45D8"/>
    <w:rsid w:val="5338205E"/>
    <w:rsid w:val="537F1F94"/>
    <w:rsid w:val="54A379AB"/>
    <w:rsid w:val="5789732C"/>
    <w:rsid w:val="580E6766"/>
    <w:rsid w:val="59426E86"/>
    <w:rsid w:val="599C6F45"/>
    <w:rsid w:val="5AE623A0"/>
    <w:rsid w:val="5B0B62AA"/>
    <w:rsid w:val="5F950838"/>
    <w:rsid w:val="606677A6"/>
    <w:rsid w:val="615870CE"/>
    <w:rsid w:val="62AA227A"/>
    <w:rsid w:val="635D67A5"/>
    <w:rsid w:val="63AB062A"/>
    <w:rsid w:val="63D70ECA"/>
    <w:rsid w:val="647542FA"/>
    <w:rsid w:val="65123D2A"/>
    <w:rsid w:val="658904F7"/>
    <w:rsid w:val="669435F8"/>
    <w:rsid w:val="6727621A"/>
    <w:rsid w:val="68091DC3"/>
    <w:rsid w:val="68E0032B"/>
    <w:rsid w:val="68E5013A"/>
    <w:rsid w:val="69AF0748"/>
    <w:rsid w:val="6B2A452A"/>
    <w:rsid w:val="6B502479"/>
    <w:rsid w:val="6E3A0F28"/>
    <w:rsid w:val="6EB26D11"/>
    <w:rsid w:val="6F4162E7"/>
    <w:rsid w:val="6F455D89"/>
    <w:rsid w:val="6FCA008A"/>
    <w:rsid w:val="7089584F"/>
    <w:rsid w:val="71723492"/>
    <w:rsid w:val="7218332F"/>
    <w:rsid w:val="730D5068"/>
    <w:rsid w:val="73D0568F"/>
    <w:rsid w:val="74343D24"/>
    <w:rsid w:val="76B15B00"/>
    <w:rsid w:val="777A3DED"/>
    <w:rsid w:val="78EA354B"/>
    <w:rsid w:val="79294073"/>
    <w:rsid w:val="7AAF0302"/>
    <w:rsid w:val="7C06244A"/>
    <w:rsid w:val="7C4A4A2C"/>
    <w:rsid w:val="7DB14637"/>
    <w:rsid w:val="7E6E2528"/>
    <w:rsid w:val="7EEC1DCB"/>
    <w:rsid w:val="7F435763"/>
    <w:rsid w:val="7FBB5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ind w:firstLine="560" w:firstLineChars="200"/>
    </w:pPr>
    <w:rPr>
      <w:sz w:val="2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333333"/>
      <w:u w:val="none"/>
    </w:rPr>
  </w:style>
  <w:style w:type="character" w:customStyle="1" w:styleId="10">
    <w:name w:val="页脚 字符"/>
    <w:link w:val="3"/>
    <w:qFormat/>
    <w:uiPriority w:val="0"/>
    <w:rPr>
      <w:kern w:val="2"/>
      <w:sz w:val="18"/>
      <w:szCs w:val="18"/>
    </w:rPr>
  </w:style>
  <w:style w:type="character" w:customStyle="1" w:styleId="11">
    <w:name w:val="页眉 字符"/>
    <w:link w:val="4"/>
    <w:qFormat/>
    <w:uiPriority w:val="0"/>
    <w:rPr>
      <w:kern w:val="2"/>
      <w:sz w:val="18"/>
      <w:szCs w:val="18"/>
    </w:rPr>
  </w:style>
  <w:style w:type="paragraph" w:customStyle="1" w:styleId="12">
    <w:name w:val="Table Text"/>
    <w:basedOn w:val="1"/>
    <w:semiHidden/>
    <w:qFormat/>
    <w:uiPriority w:val="0"/>
    <w:rPr>
      <w:rFonts w:ascii="宋体" w:hAnsi="宋体" w:cs="宋体"/>
      <w:sz w:val="20"/>
      <w:szCs w:val="20"/>
      <w:lang w:eastAsia="en-US"/>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714</Words>
  <Characters>754</Characters>
  <Lines>25</Lines>
  <Paragraphs>31</Paragraphs>
  <TotalTime>138</TotalTime>
  <ScaleCrop>false</ScaleCrop>
  <LinksUpToDate>false</LinksUpToDate>
  <CharactersWithSpaces>770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2025-06-12T12:27:00Z</dcterms:created>
  <dc:creator>微软用户</dc:creator>
  <cp:lastModifiedBy>文昌</cp:lastModifiedBy>
  <cp:lastPrinted>2025-06-12T03:59:00Z</cp:lastPrinted>
  <dcterms:modified xsi:type="dcterms:W3CDTF">2025-06-13T06:20:35Z</dcterms:modified>
  <dc:title>尊敬的用人单位：</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94DEEF98EFE3492C82BAC63B58BEB10B_13</vt:lpwstr>
  </property>
  <property fmtid="{D5CDD505-2E9C-101B-9397-08002B2CF9AE}" pid="4" name="KSOTemplateDocerSaveRecord">
    <vt:lpwstr>eyJoZGlkIjoiNjJkNzM5N2Y0NjgzMmFmM2IzMDdjNDliMDhkMTNkNzIiLCJ1c2VySWQiOiIyNTQzMTUxNDkifQ==</vt:lpwstr>
  </property>
</Properties>
</file>